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80" w:lineRule="exact"/>
        <w:ind w:left="1280" w:leftChars="0" w:right="0" w:rightChars="0" w:hanging="1280" w:hangingChars="400"/>
        <w:textAlignment w:val="auto"/>
        <w:outlineLvl w:val="9"/>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720" w:firstLineChars="200"/>
        <w:jc w:val="center"/>
        <w:textAlignment w:val="auto"/>
        <w:outlineLvl w:val="9"/>
        <w:rPr>
          <w:rFonts w:hint="eastAsia" w:ascii="方正小标宋简体" w:hAnsi="方正小标宋简体" w:eastAsia="方正小标宋简体" w:cs="方正小标宋简体"/>
          <w:color w:val="auto"/>
          <w:sz w:val="36"/>
          <w:szCs w:val="36"/>
          <w:u w:val="none"/>
          <w:lang w:val="en-US" w:eastAsia="zh-CN"/>
        </w:rPr>
      </w:pPr>
      <w:bookmarkStart w:id="0" w:name="_GoBack"/>
      <w:r>
        <w:rPr>
          <w:rFonts w:hint="eastAsia" w:ascii="方正小标宋简体" w:hAnsi="方正小标宋简体" w:eastAsia="方正小标宋简体" w:cs="方正小标宋简体"/>
          <w:color w:val="auto"/>
          <w:sz w:val="36"/>
          <w:szCs w:val="36"/>
          <w:u w:val="none"/>
          <w:lang w:val="en-US" w:eastAsia="zh-CN"/>
        </w:rPr>
        <w:t>禁止、限制部分塑料制品生产、销售和使用主要任务时序进度表</w:t>
      </w:r>
    </w:p>
    <w:bookmarkEnd w:id="0"/>
    <w:tbl>
      <w:tblPr>
        <w:tblStyle w:val="6"/>
        <w:tblW w:w="13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785"/>
        <w:gridCol w:w="6375"/>
        <w:gridCol w:w="1920"/>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97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rightChars="0"/>
              <w:jc w:val="center"/>
              <w:textAlignment w:val="auto"/>
              <w:outlineLvl w:val="9"/>
              <w:rPr>
                <w:rFonts w:hint="eastAsia" w:ascii="黑体" w:hAnsi="黑体" w:eastAsia="黑体" w:cs="黑体"/>
                <w:color w:val="auto"/>
                <w:sz w:val="32"/>
                <w:szCs w:val="32"/>
                <w:u w:val="none"/>
                <w:vertAlign w:val="baseline"/>
                <w:lang w:val="en-US" w:eastAsia="zh-CN"/>
              </w:rPr>
            </w:pPr>
            <w:r>
              <w:rPr>
                <w:rFonts w:hint="eastAsia" w:ascii="黑体" w:hAnsi="黑体" w:eastAsia="黑体" w:cs="黑体"/>
                <w:color w:val="auto"/>
                <w:sz w:val="32"/>
                <w:szCs w:val="32"/>
                <w:u w:val="none"/>
                <w:vertAlign w:val="baseline"/>
                <w:lang w:val="en-US" w:eastAsia="zh-CN"/>
              </w:rPr>
              <w:t>序号</w:t>
            </w:r>
          </w:p>
        </w:tc>
        <w:tc>
          <w:tcPr>
            <w:tcW w:w="178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rightChars="0"/>
              <w:jc w:val="center"/>
              <w:textAlignment w:val="auto"/>
              <w:outlineLvl w:val="9"/>
              <w:rPr>
                <w:rFonts w:hint="eastAsia" w:ascii="黑体" w:hAnsi="黑体" w:eastAsia="黑体" w:cs="黑体"/>
                <w:color w:val="auto"/>
                <w:sz w:val="32"/>
                <w:szCs w:val="32"/>
                <w:u w:val="none"/>
                <w:vertAlign w:val="baseline"/>
                <w:lang w:val="en-US" w:eastAsia="zh-CN"/>
              </w:rPr>
            </w:pPr>
            <w:r>
              <w:rPr>
                <w:rFonts w:hint="eastAsia" w:ascii="黑体" w:hAnsi="黑体" w:eastAsia="黑体" w:cs="黑体"/>
                <w:color w:val="auto"/>
                <w:sz w:val="32"/>
                <w:szCs w:val="32"/>
                <w:u w:val="none"/>
                <w:vertAlign w:val="baseline"/>
                <w:lang w:val="en-US" w:eastAsia="zh-CN"/>
              </w:rPr>
              <w:t>重点工作</w:t>
            </w:r>
          </w:p>
        </w:tc>
        <w:tc>
          <w:tcPr>
            <w:tcW w:w="6375"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rightChars="0"/>
              <w:jc w:val="center"/>
              <w:textAlignment w:val="auto"/>
              <w:outlineLvl w:val="9"/>
              <w:rPr>
                <w:rFonts w:hint="eastAsia" w:ascii="黑体" w:hAnsi="黑体" w:eastAsia="黑体" w:cs="黑体"/>
                <w:color w:val="auto"/>
                <w:sz w:val="32"/>
                <w:szCs w:val="32"/>
                <w:u w:val="none"/>
                <w:vertAlign w:val="baseline"/>
                <w:lang w:val="en-US" w:eastAsia="zh-CN"/>
              </w:rPr>
            </w:pPr>
            <w:r>
              <w:rPr>
                <w:rFonts w:hint="eastAsia" w:ascii="黑体" w:hAnsi="黑体" w:eastAsia="黑体" w:cs="黑体"/>
                <w:color w:val="auto"/>
                <w:sz w:val="32"/>
                <w:szCs w:val="32"/>
                <w:u w:val="none"/>
                <w:vertAlign w:val="baseline"/>
                <w:lang w:val="en-US" w:eastAsia="zh-CN"/>
              </w:rPr>
              <w:t>主要任务</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rightChars="0"/>
              <w:jc w:val="center"/>
              <w:textAlignment w:val="auto"/>
              <w:outlineLvl w:val="9"/>
              <w:rPr>
                <w:rFonts w:hint="eastAsia" w:ascii="黑体" w:hAnsi="黑体" w:eastAsia="黑体" w:cs="黑体"/>
                <w:color w:val="auto"/>
                <w:sz w:val="32"/>
                <w:szCs w:val="32"/>
                <w:u w:val="none"/>
                <w:vertAlign w:val="baseline"/>
                <w:lang w:val="en-US" w:eastAsia="zh-CN"/>
              </w:rPr>
            </w:pPr>
            <w:r>
              <w:rPr>
                <w:rFonts w:hint="eastAsia" w:ascii="黑体" w:hAnsi="黑体" w:eastAsia="黑体" w:cs="黑体"/>
                <w:color w:val="auto"/>
                <w:sz w:val="32"/>
                <w:szCs w:val="32"/>
                <w:u w:val="none"/>
                <w:vertAlign w:val="baseline"/>
                <w:lang w:val="en-US" w:eastAsia="zh-CN"/>
              </w:rPr>
              <w:t>时间要求</w:t>
            </w:r>
          </w:p>
        </w:tc>
        <w:tc>
          <w:tcPr>
            <w:tcW w:w="276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rightChars="0"/>
              <w:jc w:val="center"/>
              <w:textAlignment w:val="auto"/>
              <w:outlineLvl w:val="9"/>
              <w:rPr>
                <w:rFonts w:hint="eastAsia" w:ascii="黑体" w:hAnsi="黑体" w:eastAsia="黑体" w:cs="黑体"/>
                <w:color w:val="auto"/>
                <w:sz w:val="32"/>
                <w:szCs w:val="32"/>
                <w:u w:val="none"/>
                <w:vertAlign w:val="baseline"/>
                <w:lang w:val="en-US" w:eastAsia="zh-CN"/>
              </w:rPr>
            </w:pPr>
            <w:r>
              <w:rPr>
                <w:rFonts w:hint="eastAsia" w:ascii="黑体" w:hAnsi="黑体" w:eastAsia="黑体" w:cs="黑体"/>
                <w:color w:val="auto"/>
                <w:sz w:val="32"/>
                <w:szCs w:val="32"/>
                <w:u w:val="none"/>
                <w:vertAlign w:val="baseline"/>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u w:val="none"/>
                <w:vertAlign w:val="baseline"/>
                <w:lang w:val="en-US" w:eastAsia="zh-CN"/>
              </w:rPr>
            </w:pPr>
            <w:r>
              <w:rPr>
                <w:rFonts w:hint="eastAsia" w:ascii="仿宋_GB2312" w:hAnsi="仿宋_GB2312" w:eastAsia="仿宋_GB2312" w:cs="仿宋_GB2312"/>
                <w:color w:val="auto"/>
                <w:sz w:val="28"/>
                <w:szCs w:val="28"/>
                <w:u w:val="none"/>
                <w:vertAlign w:val="baseline"/>
                <w:lang w:val="en-US" w:eastAsia="zh-CN"/>
              </w:rPr>
              <w:t>1</w:t>
            </w:r>
          </w:p>
        </w:tc>
        <w:tc>
          <w:tcPr>
            <w:tcW w:w="1785"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禁止生产、销售的塑料制品</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p>
        </w:tc>
        <w:tc>
          <w:tcPr>
            <w:tcW w:w="6375"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left"/>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lang w:val="en-US" w:eastAsia="zh-CN"/>
              </w:rPr>
              <w:t>禁止生产和销售厚度小于0.025毫米的超薄塑料购物袋、厚度小于0.01毫米的聚乙烯农用地膜。</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即日起</w:t>
            </w:r>
          </w:p>
        </w:tc>
        <w:tc>
          <w:tcPr>
            <w:tcW w:w="2760"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lang w:val="en-US" w:eastAsia="zh-CN"/>
              </w:rPr>
              <w:t>各设区市人民政府、平潭综合实验区管委会，省发改委、工信厅、生态环境厅、农业农村厅、市场监管局、福州海关、厦门海关按职责分工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7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u w:val="none"/>
                <w:vertAlign w:val="baseline"/>
                <w:lang w:val="en-US" w:eastAsia="zh-CN"/>
              </w:rPr>
            </w:pPr>
            <w:r>
              <w:rPr>
                <w:rFonts w:hint="eastAsia" w:ascii="仿宋_GB2312" w:hAnsi="仿宋_GB2312" w:eastAsia="仿宋_GB2312" w:cs="仿宋_GB2312"/>
                <w:color w:val="auto"/>
                <w:sz w:val="28"/>
                <w:szCs w:val="28"/>
                <w:u w:val="none"/>
                <w:vertAlign w:val="baseline"/>
                <w:lang w:val="en-US" w:eastAsia="zh-CN"/>
              </w:rPr>
              <w:t>2</w:t>
            </w:r>
          </w:p>
        </w:tc>
        <w:tc>
          <w:tcPr>
            <w:tcW w:w="1785"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p>
        </w:tc>
        <w:tc>
          <w:tcPr>
            <w:tcW w:w="6375"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left"/>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lang w:val="en-US" w:eastAsia="zh-CN"/>
              </w:rPr>
              <w:t>禁止以医疗废物为原料制造塑料制品。</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即日起</w:t>
            </w:r>
          </w:p>
        </w:tc>
        <w:tc>
          <w:tcPr>
            <w:tcW w:w="2760"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97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u w:val="none"/>
                <w:vertAlign w:val="baseline"/>
                <w:lang w:val="en-US" w:eastAsia="zh-CN"/>
              </w:rPr>
            </w:pPr>
            <w:r>
              <w:rPr>
                <w:rFonts w:hint="eastAsia" w:ascii="仿宋_GB2312" w:hAnsi="仿宋_GB2312" w:eastAsia="仿宋_GB2312" w:cs="仿宋_GB2312"/>
                <w:color w:val="auto"/>
                <w:sz w:val="28"/>
                <w:szCs w:val="28"/>
                <w:u w:val="none"/>
                <w:vertAlign w:val="baseline"/>
                <w:lang w:val="en-US" w:eastAsia="zh-CN"/>
              </w:rPr>
              <w:t>3</w:t>
            </w:r>
          </w:p>
        </w:tc>
        <w:tc>
          <w:tcPr>
            <w:tcW w:w="1785"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p>
        </w:tc>
        <w:tc>
          <w:tcPr>
            <w:tcW w:w="6375"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left"/>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lang w:val="en-US" w:eastAsia="zh-CN"/>
              </w:rPr>
              <w:t>全面禁止废塑料进口。</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即日起</w:t>
            </w:r>
          </w:p>
        </w:tc>
        <w:tc>
          <w:tcPr>
            <w:tcW w:w="2760"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u w:val="none"/>
                <w:vertAlign w:val="baseline"/>
                <w:lang w:val="en-US" w:eastAsia="zh-CN"/>
              </w:rPr>
            </w:pPr>
            <w:r>
              <w:rPr>
                <w:rFonts w:hint="eastAsia" w:ascii="仿宋_GB2312" w:hAnsi="仿宋_GB2312" w:eastAsia="仿宋_GB2312" w:cs="仿宋_GB2312"/>
                <w:color w:val="auto"/>
                <w:sz w:val="28"/>
                <w:szCs w:val="28"/>
                <w:u w:val="none"/>
                <w:vertAlign w:val="baseline"/>
                <w:lang w:val="en-US" w:eastAsia="zh-CN"/>
              </w:rPr>
              <w:t>4</w:t>
            </w:r>
          </w:p>
        </w:tc>
        <w:tc>
          <w:tcPr>
            <w:tcW w:w="1785"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p>
        </w:tc>
        <w:tc>
          <w:tcPr>
            <w:tcW w:w="6375"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left"/>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禁止生产和销售一次性发泡塑料餐具、一次性塑料棉签；禁止生产含塑料微珠的日化产品。</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2020年底前</w:t>
            </w:r>
          </w:p>
        </w:tc>
        <w:tc>
          <w:tcPr>
            <w:tcW w:w="2760"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97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u w:val="none"/>
                <w:vertAlign w:val="baseline"/>
                <w:lang w:val="en-US" w:eastAsia="zh-CN"/>
              </w:rPr>
            </w:pPr>
            <w:r>
              <w:rPr>
                <w:rFonts w:hint="eastAsia" w:ascii="仿宋_GB2312" w:hAnsi="仿宋_GB2312" w:eastAsia="仿宋_GB2312" w:cs="仿宋_GB2312"/>
                <w:color w:val="auto"/>
                <w:sz w:val="28"/>
                <w:szCs w:val="28"/>
                <w:u w:val="none"/>
                <w:vertAlign w:val="baseline"/>
                <w:lang w:val="en-US" w:eastAsia="zh-CN"/>
              </w:rPr>
              <w:t>5</w:t>
            </w:r>
          </w:p>
        </w:tc>
        <w:tc>
          <w:tcPr>
            <w:tcW w:w="1785"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p>
        </w:tc>
        <w:tc>
          <w:tcPr>
            <w:tcW w:w="6375"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left"/>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禁止销售含塑料微珠的日化产品。</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2022年底前</w:t>
            </w:r>
          </w:p>
        </w:tc>
        <w:tc>
          <w:tcPr>
            <w:tcW w:w="2760"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u w:val="none"/>
                <w:vertAlign w:val="baseline"/>
                <w:lang w:val="en-US" w:eastAsia="zh-CN"/>
              </w:rPr>
            </w:pPr>
            <w:r>
              <w:rPr>
                <w:rFonts w:hint="eastAsia" w:ascii="仿宋_GB2312" w:hAnsi="仿宋_GB2312" w:eastAsia="仿宋_GB2312" w:cs="仿宋_GB2312"/>
                <w:color w:val="auto"/>
                <w:sz w:val="28"/>
                <w:szCs w:val="28"/>
                <w:u w:val="none"/>
                <w:vertAlign w:val="baseline"/>
                <w:lang w:val="en-US" w:eastAsia="zh-CN"/>
              </w:rPr>
              <w:t>6</w:t>
            </w:r>
          </w:p>
        </w:tc>
        <w:tc>
          <w:tcPr>
            <w:tcW w:w="1785"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禁止、限制使用不可降解塑料袋</w:t>
            </w:r>
          </w:p>
        </w:tc>
        <w:tc>
          <w:tcPr>
            <w:tcW w:w="6375"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left"/>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福州、厦门城市建成区的商场、超市、药店、书店等场所以及餐饮打包外卖服务和各类展会活动，禁止使用不可降解塑料袋，集贸市场规范和限制使用不可降解塑料袋。</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2020年底前</w:t>
            </w:r>
          </w:p>
        </w:tc>
        <w:tc>
          <w:tcPr>
            <w:tcW w:w="2760"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lang w:val="en-US" w:eastAsia="zh-CN"/>
              </w:rPr>
              <w:t>各设区市人民政府、平潭综合实验区管委会，省文旅厅、市场监管局等按职责分工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u w:val="none"/>
                <w:vertAlign w:val="baseline"/>
                <w:lang w:val="en-US" w:eastAsia="zh-CN"/>
              </w:rPr>
            </w:pPr>
            <w:r>
              <w:rPr>
                <w:rFonts w:hint="eastAsia" w:ascii="仿宋_GB2312" w:hAnsi="仿宋_GB2312" w:eastAsia="仿宋_GB2312" w:cs="仿宋_GB2312"/>
                <w:color w:val="auto"/>
                <w:sz w:val="28"/>
                <w:szCs w:val="28"/>
                <w:u w:val="none"/>
                <w:vertAlign w:val="baseline"/>
                <w:lang w:val="en-US" w:eastAsia="zh-CN"/>
              </w:rPr>
              <w:t>7</w:t>
            </w:r>
          </w:p>
        </w:tc>
        <w:tc>
          <w:tcPr>
            <w:tcW w:w="1785"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p>
        </w:tc>
        <w:tc>
          <w:tcPr>
            <w:tcW w:w="6375"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left"/>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全省地级以上城市建成区和沿海地区县城建成区的商场、超市、药店、书店等场所以及餐饮打包外卖服务和各类展会活动，禁止使用不可降解塑料袋，集贸市场规范和限制使用不可降解塑料袋。</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2022年底前</w:t>
            </w:r>
          </w:p>
        </w:tc>
        <w:tc>
          <w:tcPr>
            <w:tcW w:w="2760"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u w:val="none"/>
                <w:vertAlign w:val="baseline"/>
                <w:lang w:val="en-US" w:eastAsia="zh-CN"/>
              </w:rPr>
            </w:pPr>
            <w:r>
              <w:rPr>
                <w:rFonts w:hint="eastAsia" w:ascii="仿宋_GB2312" w:hAnsi="仿宋_GB2312" w:eastAsia="仿宋_GB2312" w:cs="仿宋_GB2312"/>
                <w:color w:val="auto"/>
                <w:sz w:val="28"/>
                <w:szCs w:val="28"/>
                <w:u w:val="none"/>
                <w:vertAlign w:val="baseline"/>
                <w:lang w:val="en-US" w:eastAsia="zh-CN"/>
              </w:rPr>
              <w:t>8</w:t>
            </w:r>
          </w:p>
        </w:tc>
        <w:tc>
          <w:tcPr>
            <w:tcW w:w="1785"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p>
        </w:tc>
        <w:tc>
          <w:tcPr>
            <w:tcW w:w="6375"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left"/>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全省地级以上城市建成区和沿海地区县城建成区的集贸市场禁止使用不可降解塑料袋。鼓励福州、厦门等有条件的地区，在城乡结合部、乡镇和农村地区集市等场所停止使用不可降解塑料袋。</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2025年底前</w:t>
            </w:r>
          </w:p>
        </w:tc>
        <w:tc>
          <w:tcPr>
            <w:tcW w:w="2760"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u w:val="none"/>
                <w:vertAlign w:val="baseline"/>
                <w:lang w:val="en-US" w:eastAsia="zh-CN"/>
              </w:rPr>
            </w:pPr>
            <w:r>
              <w:rPr>
                <w:rFonts w:hint="eastAsia" w:ascii="仿宋_GB2312" w:hAnsi="仿宋_GB2312" w:eastAsia="仿宋_GB2312" w:cs="仿宋_GB2312"/>
                <w:color w:val="auto"/>
                <w:sz w:val="28"/>
                <w:szCs w:val="28"/>
                <w:u w:val="none"/>
                <w:vertAlign w:val="baseline"/>
                <w:lang w:val="en-US" w:eastAsia="zh-CN"/>
              </w:rPr>
              <w:t>9</w:t>
            </w:r>
          </w:p>
        </w:tc>
        <w:tc>
          <w:tcPr>
            <w:tcW w:w="1785"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禁止、限制使用一次性塑料餐具</w:t>
            </w:r>
          </w:p>
        </w:tc>
        <w:tc>
          <w:tcPr>
            <w:tcW w:w="6375"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left"/>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全省餐饮行业禁止使用不可降解一次性塑料吸管；地级以上城市建成区、景区景点的餐饮堂食服务，禁止使用不可降解一次性塑料餐具。</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2020年底前</w:t>
            </w:r>
          </w:p>
        </w:tc>
        <w:tc>
          <w:tcPr>
            <w:tcW w:w="2760"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left"/>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lang w:val="en-US" w:eastAsia="zh-CN"/>
              </w:rPr>
              <w:t>各设区市人民政府、平潭综合实验区管委会，省商务厅、文旅厅等按职责分工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u w:val="none"/>
                <w:vertAlign w:val="baseline"/>
                <w:lang w:val="en-US" w:eastAsia="zh-CN"/>
              </w:rPr>
            </w:pPr>
            <w:r>
              <w:rPr>
                <w:rFonts w:hint="eastAsia" w:ascii="仿宋_GB2312" w:hAnsi="仿宋_GB2312" w:eastAsia="仿宋_GB2312" w:cs="仿宋_GB2312"/>
                <w:color w:val="auto"/>
                <w:sz w:val="28"/>
                <w:szCs w:val="28"/>
                <w:u w:val="none"/>
                <w:vertAlign w:val="baseline"/>
                <w:lang w:val="en-US" w:eastAsia="zh-CN"/>
              </w:rPr>
              <w:t>10</w:t>
            </w:r>
          </w:p>
        </w:tc>
        <w:tc>
          <w:tcPr>
            <w:tcW w:w="1785"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p>
        </w:tc>
        <w:tc>
          <w:tcPr>
            <w:tcW w:w="6375"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left"/>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县城建成区、景区景点的餐饮堂食服务，禁止使用不可降解一次性塑料餐具。</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2022年底前</w:t>
            </w:r>
          </w:p>
        </w:tc>
        <w:tc>
          <w:tcPr>
            <w:tcW w:w="2760"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u w:val="none"/>
                <w:vertAlign w:val="baseline"/>
                <w:lang w:val="en-US" w:eastAsia="zh-CN"/>
              </w:rPr>
            </w:pPr>
            <w:r>
              <w:rPr>
                <w:rFonts w:hint="eastAsia" w:ascii="仿宋_GB2312" w:hAnsi="仿宋_GB2312" w:eastAsia="仿宋_GB2312" w:cs="仿宋_GB2312"/>
                <w:color w:val="auto"/>
                <w:sz w:val="28"/>
                <w:szCs w:val="28"/>
                <w:u w:val="none"/>
                <w:vertAlign w:val="baseline"/>
                <w:lang w:val="en-US" w:eastAsia="zh-CN"/>
              </w:rPr>
              <w:t>11</w:t>
            </w:r>
          </w:p>
        </w:tc>
        <w:tc>
          <w:tcPr>
            <w:tcW w:w="1785"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p>
        </w:tc>
        <w:tc>
          <w:tcPr>
            <w:tcW w:w="6375"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left"/>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地级以上城市餐饮外卖领域不可降解一次性塑料餐具消耗强度下降30%。</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2025年底前</w:t>
            </w:r>
          </w:p>
        </w:tc>
        <w:tc>
          <w:tcPr>
            <w:tcW w:w="2760"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u w:val="none"/>
                <w:vertAlign w:val="baseline"/>
                <w:lang w:val="en-US" w:eastAsia="zh-CN"/>
              </w:rPr>
            </w:pPr>
            <w:r>
              <w:rPr>
                <w:rFonts w:hint="eastAsia" w:ascii="仿宋_GB2312" w:hAnsi="仿宋_GB2312" w:eastAsia="仿宋_GB2312" w:cs="仿宋_GB2312"/>
                <w:color w:val="auto"/>
                <w:sz w:val="28"/>
                <w:szCs w:val="28"/>
                <w:u w:val="none"/>
                <w:vertAlign w:val="baseline"/>
                <w:lang w:val="en-US" w:eastAsia="zh-CN"/>
              </w:rPr>
              <w:t>12</w:t>
            </w:r>
          </w:p>
        </w:tc>
        <w:tc>
          <w:tcPr>
            <w:tcW w:w="1785"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禁止、限制使用宾馆、酒店一次性塑料用品</w:t>
            </w:r>
          </w:p>
        </w:tc>
        <w:tc>
          <w:tcPr>
            <w:tcW w:w="6375"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left"/>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全省范围星级宾馆、酒店等场所不再主动提供一次性塑料用品。</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2022年底前</w:t>
            </w:r>
          </w:p>
        </w:tc>
        <w:tc>
          <w:tcPr>
            <w:tcW w:w="2760"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lang w:val="en-US" w:eastAsia="zh-CN"/>
              </w:rPr>
              <w:t>各设区市人民政府、平潭综合实验区管委会，省商务厅、文旅厅等按职责分工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u w:val="none"/>
                <w:vertAlign w:val="baseline"/>
                <w:lang w:val="en-US" w:eastAsia="zh-CN"/>
              </w:rPr>
            </w:pPr>
            <w:r>
              <w:rPr>
                <w:rFonts w:hint="eastAsia" w:ascii="仿宋_GB2312" w:hAnsi="仿宋_GB2312" w:eastAsia="仿宋_GB2312" w:cs="仿宋_GB2312"/>
                <w:color w:val="auto"/>
                <w:sz w:val="28"/>
                <w:szCs w:val="28"/>
                <w:u w:val="none"/>
                <w:vertAlign w:val="baseline"/>
                <w:lang w:val="en-US" w:eastAsia="zh-CN"/>
              </w:rPr>
              <w:t>13</w:t>
            </w:r>
          </w:p>
        </w:tc>
        <w:tc>
          <w:tcPr>
            <w:tcW w:w="1785"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p>
        </w:tc>
        <w:tc>
          <w:tcPr>
            <w:tcW w:w="6375"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left"/>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全省所有宾馆、酒店、民宿等场所不再主动提供一次性塑料用品。</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2025年底前</w:t>
            </w:r>
          </w:p>
        </w:tc>
        <w:tc>
          <w:tcPr>
            <w:tcW w:w="2760"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97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u w:val="none"/>
                <w:vertAlign w:val="baseline"/>
                <w:lang w:val="en-US" w:eastAsia="zh-CN"/>
              </w:rPr>
            </w:pPr>
            <w:r>
              <w:rPr>
                <w:rFonts w:hint="eastAsia" w:ascii="仿宋_GB2312" w:hAnsi="仿宋_GB2312" w:eastAsia="仿宋_GB2312" w:cs="仿宋_GB2312"/>
                <w:color w:val="auto"/>
                <w:sz w:val="28"/>
                <w:szCs w:val="28"/>
                <w:u w:val="none"/>
                <w:vertAlign w:val="baseline"/>
                <w:lang w:val="en-US" w:eastAsia="zh-CN"/>
              </w:rPr>
              <w:t>14</w:t>
            </w:r>
          </w:p>
        </w:tc>
        <w:tc>
          <w:tcPr>
            <w:tcW w:w="1785"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禁止、限制使用快递塑料包装</w:t>
            </w:r>
          </w:p>
        </w:tc>
        <w:tc>
          <w:tcPr>
            <w:tcW w:w="6375"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left"/>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可降解的绿色包装材料应用比例提高到50%。</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2020年底前</w:t>
            </w:r>
          </w:p>
        </w:tc>
        <w:tc>
          <w:tcPr>
            <w:tcW w:w="2760"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各设区市人民政府、平潭综合实验区管委会，省邮政管理局等按职责分工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u w:val="none"/>
                <w:vertAlign w:val="baseline"/>
                <w:lang w:val="en-US" w:eastAsia="zh-CN"/>
              </w:rPr>
            </w:pPr>
            <w:r>
              <w:rPr>
                <w:rFonts w:hint="eastAsia" w:ascii="仿宋_GB2312" w:hAnsi="仿宋_GB2312" w:eastAsia="仿宋_GB2312" w:cs="仿宋_GB2312"/>
                <w:color w:val="auto"/>
                <w:sz w:val="28"/>
                <w:szCs w:val="28"/>
                <w:u w:val="none"/>
                <w:vertAlign w:val="baseline"/>
                <w:lang w:val="en-US" w:eastAsia="zh-CN"/>
              </w:rPr>
              <w:t>15</w:t>
            </w:r>
          </w:p>
        </w:tc>
        <w:tc>
          <w:tcPr>
            <w:tcW w:w="1785"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p>
        </w:tc>
        <w:tc>
          <w:tcPr>
            <w:tcW w:w="6375"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left"/>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全省邮政快递网点禁止使用不可降解的塑料包装袋、一次性塑料编织袋等，降低不可降解的塑料胶带使用量</w:t>
            </w:r>
            <w:r>
              <w:rPr>
                <w:rFonts w:hint="eastAsia" w:ascii="宋体" w:hAnsi="宋体" w:eastAsia="宋体" w:cs="宋体"/>
                <w:color w:val="auto"/>
                <w:sz w:val="21"/>
                <w:szCs w:val="21"/>
                <w:u w:val="none"/>
                <w:lang w:val="en-US" w:eastAsia="zh-CN"/>
              </w:rPr>
              <w:t>。</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2022年底前</w:t>
            </w:r>
          </w:p>
        </w:tc>
        <w:tc>
          <w:tcPr>
            <w:tcW w:w="2760"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u w:val="none"/>
                <w:vertAlign w:val="baseline"/>
                <w:lang w:val="en-US" w:eastAsia="zh-CN"/>
              </w:rPr>
            </w:pPr>
            <w:r>
              <w:rPr>
                <w:rFonts w:hint="eastAsia" w:ascii="仿宋_GB2312" w:hAnsi="仿宋_GB2312" w:eastAsia="仿宋_GB2312" w:cs="仿宋_GB2312"/>
                <w:color w:val="auto"/>
                <w:sz w:val="28"/>
                <w:szCs w:val="28"/>
                <w:u w:val="none"/>
                <w:vertAlign w:val="baseline"/>
                <w:lang w:val="en-US" w:eastAsia="zh-CN"/>
              </w:rPr>
              <w:t>16</w:t>
            </w:r>
          </w:p>
        </w:tc>
        <w:tc>
          <w:tcPr>
            <w:tcW w:w="1785"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u w:val="none"/>
                <w:vertAlign w:val="baseline"/>
                <w:lang w:val="en-US" w:eastAsia="zh-CN"/>
              </w:rPr>
            </w:pPr>
          </w:p>
        </w:tc>
        <w:tc>
          <w:tcPr>
            <w:tcW w:w="6375"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u w:val="none"/>
                <w:vertAlign w:val="baseline"/>
                <w:lang w:val="en-US" w:eastAsia="zh-CN"/>
              </w:rPr>
            </w:pPr>
            <w:r>
              <w:rPr>
                <w:rFonts w:hint="eastAsia" w:ascii="宋体" w:hAnsi="宋体" w:eastAsia="宋体" w:cs="宋体"/>
                <w:color w:val="auto"/>
                <w:sz w:val="21"/>
                <w:szCs w:val="21"/>
                <w:u w:val="none"/>
                <w:vertAlign w:val="baseline"/>
                <w:lang w:val="en-US" w:eastAsia="zh-CN"/>
              </w:rPr>
              <w:t>全省邮政快递网点禁止使用不可降解的塑料包装袋、塑料胶带、一次性塑料编织袋等</w:t>
            </w:r>
            <w:r>
              <w:rPr>
                <w:rFonts w:hint="eastAsia" w:ascii="宋体" w:hAnsi="宋体" w:eastAsia="宋体" w:cs="宋体"/>
                <w:color w:val="auto"/>
                <w:sz w:val="21"/>
                <w:szCs w:val="21"/>
                <w:u w:val="none"/>
                <w:lang w:val="en-US" w:eastAsia="zh-CN"/>
              </w:rPr>
              <w:t>。</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u w:val="none"/>
                <w:vertAlign w:val="baseline"/>
                <w:lang w:val="en-US" w:eastAsia="zh-CN"/>
              </w:rPr>
            </w:pPr>
            <w:r>
              <w:rPr>
                <w:rFonts w:hint="eastAsia" w:ascii="宋体" w:hAnsi="宋体" w:eastAsia="宋体" w:cs="宋体"/>
                <w:color w:val="auto"/>
                <w:sz w:val="21"/>
                <w:szCs w:val="21"/>
                <w:u w:val="none"/>
                <w:vertAlign w:val="baseline"/>
                <w:lang w:val="en-US" w:eastAsia="zh-CN"/>
              </w:rPr>
              <w:t>2025年底</w:t>
            </w:r>
            <w:r>
              <w:rPr>
                <w:rFonts w:hint="eastAsia" w:ascii="宋体" w:hAnsi="宋体" w:cs="宋体"/>
                <w:color w:val="auto"/>
                <w:sz w:val="21"/>
                <w:szCs w:val="21"/>
                <w:u w:val="none"/>
                <w:vertAlign w:val="baseline"/>
                <w:lang w:val="en-US" w:eastAsia="zh-CN"/>
              </w:rPr>
              <w:t>前</w:t>
            </w:r>
          </w:p>
        </w:tc>
        <w:tc>
          <w:tcPr>
            <w:tcW w:w="2760"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u w:val="none"/>
                <w:vertAlign w:val="baseline"/>
                <w:lang w:val="en-US" w:eastAsia="zh-CN"/>
              </w:rPr>
            </w:pPr>
          </w:p>
        </w:tc>
      </w:tr>
    </w:tbl>
    <w:p>
      <w:pPr>
        <w:spacing w:line="560" w:lineRule="exact"/>
        <w:rPr>
          <w:rFonts w:hint="eastAsia" w:ascii="方正大标宋简体" w:eastAsia="方正大标宋简体"/>
          <w:bCs/>
          <w:sz w:val="44"/>
          <w:szCs w:val="44"/>
          <w:u w:val="none"/>
        </w:rPr>
      </w:pPr>
    </w:p>
    <w:p>
      <w:pPr>
        <w:spacing w:line="560" w:lineRule="exact"/>
        <w:rPr>
          <w:rFonts w:hint="eastAsia" w:ascii="方正大标宋简体" w:eastAsia="方正大标宋简体"/>
          <w:bCs/>
          <w:sz w:val="44"/>
          <w:szCs w:val="44"/>
        </w:rPr>
        <w:sectPr>
          <w:footerReference r:id="rId3" w:type="default"/>
          <w:footerReference r:id="rId4" w:type="even"/>
          <w:pgSz w:w="16838" w:h="11906" w:orient="landscape"/>
          <w:pgMar w:top="1587" w:right="2098" w:bottom="1474" w:left="1985" w:header="851" w:footer="1304" w:gutter="0"/>
          <w:pgNumType w:fmt="decimal"/>
          <w:cols w:space="720" w:num="1"/>
          <w:titlePg/>
          <w:rtlGutter w:val="0"/>
          <w:docGrid w:type="linesAndChars" w:linePitch="579"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大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rPr>
        <w:rFonts w:hint="eastAsia"/>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spacing w:beforeLines="0" w:afterLines="0"/>
                            <w:ind w:left="480" w:leftChars="150" w:right="480" w:rightChars="15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spacing w:beforeLines="0" w:afterLines="0"/>
                      <w:ind w:left="480" w:leftChars="150" w:right="480" w:rightChars="15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end"/>
    </w:r>
  </w:p>
  <w:p>
    <w:pPr>
      <w:pStyle w:val="2"/>
      <w:ind w:right="360"/>
      <w:rPr>
        <w:rFonts w:hint="eastAsia"/>
        <w:sz w:val="28"/>
      </w:rPr>
    </w:pPr>
    <w:r>
      <w:rPr>
        <w:rFonts w:hint="eastAsia"/>
        <w:sz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958E1"/>
    <w:rsid w:val="0F495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2020-09-09T01:23:00Z</dcterms:created>
  <dc:creator>NTKO</dc:creator>
  <cp:lastModifiedBy>NTKO</cp:lastModifiedBy>
  <dcterms:modified xsi:type="dcterms:W3CDTF">2020-09-09T01:24:04Z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